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37" w:rsidRPr="00310D84" w:rsidRDefault="009C0A37" w:rsidP="00BE4B18">
      <w:pPr>
        <w:shd w:val="clear" w:color="auto" w:fill="F8F7F7"/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bookmarkStart w:id="0" w:name="_GoBack"/>
      <w:bookmarkEnd w:id="0"/>
      <w:r w:rsidRPr="00310D84">
        <w:rPr>
          <w:rFonts w:ascii="Tahoma" w:eastAsia="Times New Roman" w:hAnsi="Tahoma" w:cs="Tahoma"/>
          <w:sz w:val="24"/>
          <w:szCs w:val="24"/>
          <w:u w:val="single"/>
          <w:lang w:eastAsia="pl-PL"/>
        </w:rPr>
        <w:t>REGULAMIN ROZLICZENIA CIEPŁA</w:t>
      </w:r>
      <w:r w:rsidR="003021BC" w:rsidRPr="00310D84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 I KOSZTÓW UTRZYMANIA INSTALACJI </w:t>
      </w: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REGULAMIN ROZLICZANIA KOSZTÓW ENERGII CIEPLNEJ ZUŻYWANEJ NA POTRZEBY CENTRALNEGO OGRZEWANIA ORAZ PODGRZANIA WODY UŻYTKOWEJ DOSTARCZANEJ DO LOKALI PRZY ZASTOSOWANIU METODY WYKORZYSTUJĄCEJ WSKAZANIA LOGOTERM</w:t>
      </w:r>
      <w:r w:rsidR="003021BC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oraz REGULAMIN USTALANIA KOSZTÓW UTRZYMANIA INSTALACJI LOKALI WYPOSAŻONYCH W INDYWIDUALNE KOTŁY GAZOWE DWUFUNKCYJNE .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1</w:t>
      </w:r>
    </w:p>
    <w:p w:rsidR="003021BC" w:rsidRPr="00310D84" w:rsidRDefault="009C0A37" w:rsidP="003021BC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Niniejszy Regulamin ustala się w celu zapewnienia jednolitego i jednoznacznego sposobu postępowania przy określaniu opłat zaliczkowych za energię cieplną i okresowym rozliczaniu jej kosztów w nieruchomościach zarządzanych przez Świdnickie Towarzystwo Budownictwa Społecznego (ŚTBS), wyposażonych w indywidualne sta</w:t>
      </w:r>
      <w:r w:rsidR="003021BC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cje wymiennikowe tzw. </w:t>
      </w:r>
      <w:proofErr w:type="spellStart"/>
      <w:r w:rsidR="003021BC" w:rsidRPr="00310D84">
        <w:rPr>
          <w:rFonts w:ascii="Tahoma" w:eastAsia="Times New Roman" w:hAnsi="Tahoma" w:cs="Tahoma"/>
          <w:sz w:val="20"/>
          <w:szCs w:val="20"/>
          <w:lang w:eastAsia="pl-PL"/>
        </w:rPr>
        <w:t>logotermy</w:t>
      </w:r>
      <w:proofErr w:type="spellEnd"/>
      <w:r w:rsidR="003021BC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oraz indywidualne kotły gazowe dwufunkcyjne .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2</w:t>
      </w:r>
    </w:p>
    <w:p w:rsidR="003021BC" w:rsidRPr="00310D84" w:rsidRDefault="009C0A37" w:rsidP="003021BC">
      <w:pPr>
        <w:pStyle w:val="Akapitzlist"/>
        <w:numPr>
          <w:ilvl w:val="0"/>
          <w:numId w:val="44"/>
        </w:numPr>
        <w:shd w:val="clear" w:color="auto" w:fill="F8F7F7"/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Regulamin niniejszy reguluje </w:t>
      </w:r>
      <w:r w:rsidR="003021BC" w:rsidRPr="00310D84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C0A37" w:rsidRPr="00310D84" w:rsidRDefault="009C0A37" w:rsidP="003021BC">
      <w:pPr>
        <w:pStyle w:val="Akapitzlist"/>
        <w:numPr>
          <w:ilvl w:val="0"/>
          <w:numId w:val="45"/>
        </w:num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sposób rozliczania kosztów energii cieplnej do lokali mieszkalnych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użytkowych oraz garaży, zwanych w dalszej części regulaminu lokalami, przy zastosowaniu metody wykorzystującej wskazania </w:t>
      </w:r>
      <w:proofErr w:type="spellStart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>logoterm</w:t>
      </w:r>
      <w:proofErr w:type="spellEnd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021BC" w:rsidRPr="00310D84" w:rsidRDefault="0001198E" w:rsidP="003021BC">
      <w:pPr>
        <w:pStyle w:val="Akapitzlist"/>
        <w:numPr>
          <w:ilvl w:val="0"/>
          <w:numId w:val="45"/>
        </w:num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s</w:t>
      </w:r>
      <w:r w:rsidR="003021BC" w:rsidRPr="00310D84">
        <w:rPr>
          <w:rFonts w:ascii="Tahoma" w:eastAsia="Times New Roman" w:hAnsi="Tahoma" w:cs="Tahoma"/>
          <w:sz w:val="20"/>
          <w:szCs w:val="20"/>
          <w:lang w:eastAsia="pl-PL"/>
        </w:rPr>
        <w:t>posób ustalania kosztów utrzymania instalacji lokali wyposażonych w indywidualne kotły gazowe dwufunkcyjne .</w:t>
      </w:r>
    </w:p>
    <w:p w:rsidR="009C0A37" w:rsidRPr="00310D84" w:rsidRDefault="009C0A37" w:rsidP="009C0A37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2. Regulamin opracowano w oparciu o postanowienia zawarte w następujących przepisach: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- Ustawa z dnia 10 kwietnia 1997r. - Prawo energetyczne (Dz. U. nr  89 poz. 625 z </w:t>
      </w:r>
      <w:proofErr w:type="spellStart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>. zmianami);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Ustawa z dnia 21 luty 2005 r. o ochronie praw lokatorów, mieszkaniowym zasobie gminy i o zmianie Kodeksu cywilnego (Dz. U. nr 31/05 poz. 266) z późniejszymi zmianami;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- Rozporządzenie Ministra Gospodarki z dnia </w:t>
      </w:r>
      <w:r w:rsidR="00940E53" w:rsidRPr="00310D84">
        <w:rPr>
          <w:rFonts w:ascii="Tahoma" w:eastAsia="Times New Roman" w:hAnsi="Tahoma" w:cs="Tahoma"/>
          <w:sz w:val="20"/>
          <w:szCs w:val="20"/>
          <w:lang w:eastAsia="pl-PL"/>
        </w:rPr>
        <w:t>17.09.2010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roku w sprawie szczegółowych zasad kształtowania i kalkulacji taryf oraz rozliczeń z tytułu zaopatrzenia w ciepło (Dz. U. </w:t>
      </w:r>
      <w:r w:rsidR="00940E53" w:rsidRPr="00310D84">
        <w:rPr>
          <w:rFonts w:ascii="Tahoma" w:eastAsia="Times New Roman" w:hAnsi="Tahoma" w:cs="Tahoma"/>
          <w:sz w:val="20"/>
          <w:szCs w:val="20"/>
          <w:lang w:eastAsia="pl-PL"/>
        </w:rPr>
        <w:t>2010.194.1291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);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Rozporządzenie Ministra Gospodarki z dnia 15 stycznia 2007 roku w sprawie szczegółowych warunków funkcjonowania systemów ciepłowniczych (Dz. U. z dnia lutego 2007r.);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- Rozporządzenie Ministra Infrastruktury z dnia 12 kwietnia 2002 roku w sprawie warunków technicznych, jakim powinny odpowiadać budynki i ich usytuowanie (Dz. U. nr 75 poz. 590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z późniejszymi zmianami);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Rozporządzenie Ministra Spraw Wewnętrznych i Administracji z dnia 16 sierpnia 1999 r. w sprawie warunków technicznych użytkowania budynków mieszkalnych ( Dz. U. nr 74 poz. 836);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Ustawa Prawo o miarach ( Dz. U. nr 243 z 2004r poz.2441).</w:t>
      </w:r>
    </w:p>
    <w:p w:rsidR="009C0A37" w:rsidRPr="00310D84" w:rsidRDefault="009C0A37" w:rsidP="009C0A37">
      <w:pPr>
        <w:shd w:val="clear" w:color="auto" w:fill="F8F7F7"/>
        <w:spacing w:before="100" w:beforeAutospacing="1"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3. Ilekroć w regulaminie jest mowa o „użytkowniku lokalu" należy przez to rozumieć: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lokatora, w rozumieniu ustawy z dnia 21.02.2005r. o ochronie lokatorów, mieszkaniowym zasobie    </w:t>
      </w:r>
      <w:r w:rsidRPr="00310D84">
        <w:rPr>
          <w:rFonts w:ascii="Tahoma" w:eastAsia="Times New Roman" w:hAnsi="Tahoma" w:cs="Tahoma"/>
          <w:sz w:val="15"/>
          <w:szCs w:val="15"/>
          <w:lang w:eastAsia="pl-PL"/>
        </w:rPr>
        <w:t xml:space="preserve"> 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Gminy i zmianie Kodeksu Cywilnego;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najemcę lokalu użytkowego, który zawarł z ŚTBS umowę najmu lokalu użytkowego;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osobę zajmującą lokal bez tytułu prawnego;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za użytkownika niezajętego lokalu (pustostanu) uważa się właściciela lokalu;</w:t>
      </w:r>
    </w:p>
    <w:p w:rsidR="003021BC" w:rsidRPr="00310D84" w:rsidRDefault="003021BC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BC" w:rsidRPr="00310D84" w:rsidRDefault="003021BC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0E53" w:rsidRPr="00310D84" w:rsidRDefault="00940E53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1BC" w:rsidRPr="00310D84" w:rsidRDefault="003021BC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3021BC" w:rsidRPr="00310D84" w:rsidRDefault="009C0A37" w:rsidP="009C0A37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4. Ilekroć w regulaminie jest mowa o </w:t>
      </w:r>
      <w:r w:rsidR="003021BC" w:rsidRPr="00310D84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C0A37" w:rsidRPr="00310D84" w:rsidRDefault="003021BC" w:rsidP="009C0A37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proofErr w:type="spellStart"/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logotermach</w:t>
      </w:r>
      <w:proofErr w:type="spellEnd"/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, należy przez to rozumieć urządzenie zapewniające dostawę energii cieplnej i służące do </w:t>
      </w:r>
      <w:proofErr w:type="spellStart"/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decentralnego</w:t>
      </w:r>
      <w:proofErr w:type="spellEnd"/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przygotowania ciepłej wody użytkowej oraz ogrzewania i regulacji temperatury w lokalu. </w:t>
      </w:r>
    </w:p>
    <w:p w:rsidR="00007EF5" w:rsidRPr="00310D84" w:rsidRDefault="003021BC" w:rsidP="00007EF5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b)</w:t>
      </w:r>
      <w:r w:rsidR="00A92D3E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kocioł gazowy d</w:t>
      </w:r>
      <w:r w:rsidR="00007EF5" w:rsidRPr="00310D84">
        <w:rPr>
          <w:rFonts w:ascii="Tahoma" w:eastAsia="Times New Roman" w:hAnsi="Tahoma" w:cs="Tahoma"/>
          <w:sz w:val="20"/>
          <w:szCs w:val="20"/>
          <w:lang w:eastAsia="pl-PL"/>
        </w:rPr>
        <w:t>wufunkcyjny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07EF5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, należy przez to rozumieć urządzenie gazowe służące do przygotowania ciepłej wody użytkowej oraz ogrzewania i regulacji temperatury w lokalu. </w:t>
      </w:r>
    </w:p>
    <w:p w:rsidR="003021BC" w:rsidRPr="00310D84" w:rsidRDefault="003021BC" w:rsidP="009C0A37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3</w:t>
      </w:r>
    </w:p>
    <w:p w:rsidR="00007EF5" w:rsidRPr="00310D84" w:rsidRDefault="009C0A37" w:rsidP="00007EF5">
      <w:pPr>
        <w:pStyle w:val="Akapitzlist"/>
        <w:numPr>
          <w:ilvl w:val="0"/>
          <w:numId w:val="46"/>
        </w:numPr>
        <w:shd w:val="clear" w:color="auto" w:fill="F8F7F7"/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Rozliczeniu podlegają </w:t>
      </w:r>
      <w:r w:rsidR="00007EF5" w:rsidRPr="00310D84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C0A37" w:rsidRPr="00310D84" w:rsidRDefault="009C0A37" w:rsidP="00007EF5">
      <w:pPr>
        <w:pStyle w:val="Akapitzlist"/>
        <w:numPr>
          <w:ilvl w:val="0"/>
          <w:numId w:val="47"/>
        </w:num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koszty dostawy ciepła do budynku ponoszone przez ŚTBS w związku z opłatami uiszczanymi zewnętrznym dostawcom ciepła.</w:t>
      </w:r>
    </w:p>
    <w:p w:rsidR="00A92D3E" w:rsidRPr="00310D84" w:rsidRDefault="00A92D3E" w:rsidP="00007EF5">
      <w:pPr>
        <w:pStyle w:val="Akapitzlist"/>
        <w:numPr>
          <w:ilvl w:val="0"/>
          <w:numId w:val="47"/>
        </w:num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Koszty utrzymania instalacji </w:t>
      </w:r>
      <w:r w:rsidR="0001198E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ponoszone przez ŚTBS w związku  z uiszczanymi opłatami stałymi  zewnętrznym dostawcom usług. </w:t>
      </w:r>
    </w:p>
    <w:p w:rsidR="009C0A37" w:rsidRPr="00310D84" w:rsidRDefault="009C0A37" w:rsidP="009C0A37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2. Rozliczenia dokonuje się odrębnie dla każdego budynku, a jeżeli uwarunkowane jest to niemożnością zainstalowania układów pomiarowych odrębnych dla każdego budynku to dla grupy budynków.</w:t>
      </w: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4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Rozliczenia kosztów zużycia energii cieplnej  dokonuje się </w:t>
      </w:r>
      <w:r w:rsidR="00310D84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co roku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w terminie do </w:t>
      </w:r>
      <w:r w:rsidR="00310D84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3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miesięcy od zakończenia okresu rozliczeniowego.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5</w:t>
      </w:r>
    </w:p>
    <w:p w:rsidR="009C0A37" w:rsidRPr="00310D84" w:rsidRDefault="009C0A37" w:rsidP="009C0A37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1. Rozliczeniu podlega suma kosztów poniesionych przez ŚTBS  na zakup energii cieplnej do budynku lub grupy budynków w danym okresie rozliczeniowym, w oparciu o faktury wystawione przez dostawców. </w:t>
      </w:r>
    </w:p>
    <w:p w:rsidR="009C0A37" w:rsidRPr="00310D84" w:rsidRDefault="009C0A37" w:rsidP="009C0A37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2. Na sumę kosztów zakupu </w:t>
      </w:r>
      <w:r w:rsidR="0001198E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, składają się następujące składniki : </w:t>
      </w:r>
    </w:p>
    <w:p w:rsidR="0001198E" w:rsidRPr="00310D84" w:rsidRDefault="0001198E" w:rsidP="00BE4B18">
      <w:pPr>
        <w:shd w:val="clear" w:color="auto" w:fill="F8F7F7"/>
        <w:spacing w:before="100" w:beforeAutospacing="1" w:after="100" w:afterAutospacing="1" w:line="240" w:lineRule="auto"/>
        <w:ind w:firstLine="708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2.1. dla kosztów, o których mowa w §3, ust.1a. </w:t>
      </w:r>
    </w:p>
    <w:p w:rsidR="009C0A37" w:rsidRPr="00310D84" w:rsidRDefault="009C0A37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a) opłata za ciepło; </w:t>
      </w:r>
    </w:p>
    <w:p w:rsidR="009C0A37" w:rsidRPr="00310D84" w:rsidRDefault="009C0A37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b) opłata za przesył ciepła; </w:t>
      </w:r>
    </w:p>
    <w:p w:rsidR="009C0A37" w:rsidRPr="00310D84" w:rsidRDefault="009C0A37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c) opłata za nośnik; </w:t>
      </w:r>
    </w:p>
    <w:p w:rsidR="009C0A37" w:rsidRPr="00310D84" w:rsidRDefault="009C0A37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d) opłata za moc zamówioną; </w:t>
      </w:r>
    </w:p>
    <w:p w:rsidR="009C0A37" w:rsidRPr="00310D84" w:rsidRDefault="009C0A37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e) opłata za przesył mocy zamówionej;</w:t>
      </w:r>
    </w:p>
    <w:p w:rsidR="009C0A37" w:rsidRPr="00310D84" w:rsidRDefault="009C0A37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f) opłata abonamentowa </w:t>
      </w:r>
    </w:p>
    <w:p w:rsidR="009C0A37" w:rsidRPr="00310D84" w:rsidRDefault="009C0A37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g) opłata wynikająca z różnicy wskazań licznika głównego (na podstawie których, dostawca energii cieplnej obciąża kosztami zmiennymi ŚTBS), w stosunku do sumy wskazań liczników mieszkaniowych;</w:t>
      </w:r>
    </w:p>
    <w:p w:rsidR="004B3A2B" w:rsidRPr="00310D84" w:rsidRDefault="004B3A2B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h) amortyzacji </w:t>
      </w:r>
      <w:proofErr w:type="spellStart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>logoterm</w:t>
      </w:r>
      <w:proofErr w:type="spellEnd"/>
    </w:p>
    <w:p w:rsidR="0001198E" w:rsidRPr="00310D84" w:rsidRDefault="0001198E" w:rsidP="0001198E">
      <w:pPr>
        <w:shd w:val="clear" w:color="auto" w:fill="F8F7F7"/>
        <w:spacing w:after="0" w:line="240" w:lineRule="auto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198E" w:rsidRPr="00310D84" w:rsidRDefault="0001198E" w:rsidP="00BE4B18">
      <w:pPr>
        <w:shd w:val="clear" w:color="auto" w:fill="F8F7F7"/>
        <w:spacing w:after="0" w:line="240" w:lineRule="auto"/>
        <w:ind w:firstLine="709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2.2. dla kosztów, o których mowa w §3,</w:t>
      </w:r>
      <w:r w:rsidR="00940E53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ust.1b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1198E" w:rsidRPr="00310D84" w:rsidRDefault="0001198E" w:rsidP="0001198E">
      <w:pPr>
        <w:shd w:val="clear" w:color="auto" w:fill="F8F7F7"/>
        <w:spacing w:after="0" w:line="240" w:lineRule="auto"/>
        <w:ind w:left="708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a) opłata za coroczny przegląd kotłów gazowych</w:t>
      </w:r>
    </w:p>
    <w:p w:rsidR="0001198E" w:rsidRPr="00310D84" w:rsidRDefault="0001198E" w:rsidP="0001198E">
      <w:pPr>
        <w:shd w:val="clear" w:color="auto" w:fill="F8F7F7"/>
        <w:spacing w:after="0" w:line="240" w:lineRule="auto"/>
        <w:ind w:left="708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b) amortyzacja kotła</w:t>
      </w:r>
    </w:p>
    <w:p w:rsidR="0001198E" w:rsidRPr="00310D84" w:rsidRDefault="0001198E" w:rsidP="0001198E">
      <w:pPr>
        <w:shd w:val="clear" w:color="auto" w:fill="F8F7F7"/>
        <w:spacing w:after="0" w:line="240" w:lineRule="auto"/>
        <w:ind w:left="708" w:firstLine="709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c) wymiana wodomierza zimnej wody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co 5 lat</w:t>
      </w:r>
    </w:p>
    <w:p w:rsidR="0001198E" w:rsidRPr="00310D84" w:rsidRDefault="0001198E" w:rsidP="0001198E">
      <w:pPr>
        <w:shd w:val="clear" w:color="auto" w:fill="F8F7F7"/>
        <w:spacing w:after="0" w:line="240" w:lineRule="auto"/>
        <w:ind w:firstLine="709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3A6A88" w:rsidP="0001198E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. Opłata za dostarczoną do lokalu energię 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i opłata, o której mowa w §5, pkt. 2.2.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pobierana jest przez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12 miesięcy w roku. Opłata ta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ma charakter zaliczkowy i podlega rozliczeniu w okresach r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ozliczeniowych, o których mowa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w § 4 regulaminu.</w:t>
      </w:r>
    </w:p>
    <w:p w:rsidR="009C0A37" w:rsidRPr="00310D84" w:rsidRDefault="003A6A88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4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. Wysokość opłaty zaliczkowej 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dla lokali wyposażonych w </w:t>
      </w:r>
      <w:proofErr w:type="spellStart"/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>logotermy</w:t>
      </w:r>
      <w:proofErr w:type="spellEnd"/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ustalana jest w przeliczeniu na 1 m </w:t>
      </w:r>
      <w:r w:rsidR="009C0A37" w:rsidRPr="00310D8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2 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powierzchni użytkowej lokalu a dla lokali wyposażonych w kotły gazowe dwufunkcyjne w przeliczeniu na 1 lokal,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w oparciu o koszty ponoszone w poprzednim okresi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e rozliczeniowym powiększone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o prognozowany wzrost cen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C0A37" w:rsidRPr="00310D84" w:rsidRDefault="003A6A88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. W przypadku nieuregulowania w terminie należności wynikających z tytułu ustalonych opłat zaliczkowych 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naliczane będą odsetki.</w:t>
      </w:r>
    </w:p>
    <w:p w:rsidR="009C0A37" w:rsidRPr="00310D84" w:rsidRDefault="003A6A88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. Wysokość opłaty zaliczkowej może ulec zmianie w okresie rozliczeniowym: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- w przypadku wprowadzenia przez dostawców mediów zmian taryf;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w </w:t>
      </w:r>
      <w:r w:rsidR="007419CE" w:rsidRPr="00310D84">
        <w:rPr>
          <w:rFonts w:ascii="Tahoma" w:eastAsia="Times New Roman" w:hAnsi="Tahoma" w:cs="Tahoma"/>
          <w:sz w:val="20"/>
          <w:szCs w:val="20"/>
          <w:lang w:eastAsia="pl-PL"/>
        </w:rPr>
        <w:t>przypadku stwierdzenia przez ŚTBS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znacznego spadku lub wzrostu kosztów w trakcie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okresu rozliczeniowego.</w:t>
      </w:r>
    </w:p>
    <w:p w:rsidR="007419CE" w:rsidRPr="00310D84" w:rsidRDefault="007419CE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6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1. Odczyty urządzeń pomiarowych dokonywane będą przez firmę specja</w:t>
      </w:r>
      <w:r w:rsidR="007419CE" w:rsidRPr="00310D84">
        <w:rPr>
          <w:rFonts w:ascii="Tahoma" w:eastAsia="Times New Roman" w:hAnsi="Tahoma" w:cs="Tahoma"/>
          <w:sz w:val="20"/>
          <w:szCs w:val="20"/>
          <w:lang w:eastAsia="pl-PL"/>
        </w:rPr>
        <w:t>listyczną, przez pracowników ŚTBS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lub inne upoważnione osoby.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2. O terminie dokonywania odczytów osoba upoważniona powiadamia użytkowników lokali przez odpowiednie ogłoszenie umieszczane na klatkach schodowych.</w:t>
      </w: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7</w:t>
      </w:r>
    </w:p>
    <w:p w:rsidR="009C0A37" w:rsidRPr="00310D84" w:rsidRDefault="009C0A37" w:rsidP="00BE4B18">
      <w:pPr>
        <w:shd w:val="clear" w:color="auto" w:fill="F8F7F7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1. Do celów rozliczeń całkowity koszt energii cieplnej budynku 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wyposażonego w indywidualne logo termy ,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dzieli się na :</w:t>
      </w:r>
    </w:p>
    <w:p w:rsidR="00C90669" w:rsidRPr="00310D84" w:rsidRDefault="009C0A37" w:rsidP="00C90669">
      <w:pPr>
        <w:numPr>
          <w:ilvl w:val="0"/>
          <w:numId w:val="24"/>
        </w:numPr>
        <w:shd w:val="clear" w:color="auto" w:fill="F8F7F7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koszt zmienny - koszt zużycia energii cieplnej w poszczególnych lokalach w budynku (na centralne ogrzewanie i podgrzanie wody</w:t>
      </w:r>
      <w:r w:rsidR="00C90669" w:rsidRPr="00310D84">
        <w:rPr>
          <w:rFonts w:ascii="Tahoma" w:eastAsia="Times New Roman" w:hAnsi="Tahoma" w:cs="Tahoma"/>
          <w:sz w:val="15"/>
          <w:szCs w:val="15"/>
          <w:lang w:eastAsia="pl-PL"/>
        </w:rPr>
        <w:t>)</w:t>
      </w:r>
    </w:p>
    <w:p w:rsidR="009C0A37" w:rsidRPr="00310D84" w:rsidRDefault="009C0A37" w:rsidP="005A5167">
      <w:pPr>
        <w:numPr>
          <w:ilvl w:val="0"/>
          <w:numId w:val="24"/>
        </w:numPr>
        <w:shd w:val="clear" w:color="auto" w:fill="F8F7F7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koszt stały - pozostały koszt (straty ciepła, opłaty stałe) ustalony na poziomie</w:t>
      </w:r>
      <w:r w:rsidR="004B3A2B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do 50%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kosztów, o których mowa w § </w:t>
      </w:r>
      <w:r w:rsidR="003D1E3F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5 , ust.2.1.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niniejszego </w:t>
      </w:r>
      <w:r w:rsidR="003D1E3F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regulaminu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C0A37" w:rsidRPr="00310D84" w:rsidRDefault="009C0A37" w:rsidP="00BE4B18">
      <w:pPr>
        <w:shd w:val="clear" w:color="auto" w:fill="F8F7F7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2. Rozliczenia kosztów ciepła w lokalu dokonuje się poprzez:</w:t>
      </w:r>
    </w:p>
    <w:p w:rsidR="009C0A37" w:rsidRPr="00310D84" w:rsidRDefault="009C0A37" w:rsidP="009C0A37">
      <w:pPr>
        <w:numPr>
          <w:ilvl w:val="0"/>
          <w:numId w:val="26"/>
        </w:numPr>
        <w:shd w:val="clear" w:color="auto" w:fill="F8F7F7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wyliczenie kosztu zmiennego, który jest iloczynem zużytych GJ (według wskazań </w:t>
      </w:r>
      <w:proofErr w:type="spellStart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>logoterm</w:t>
      </w:r>
      <w:proofErr w:type="spellEnd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i jednostkowej stawki 1 GJ stanowiącej wartość ilorazu kosztu zmiennego oraz sumy GJ zużytych przez wszystkie lokale w budynku;</w:t>
      </w:r>
    </w:p>
    <w:p w:rsidR="009C0A37" w:rsidRPr="00310D84" w:rsidRDefault="009C0A37" w:rsidP="009C0A37">
      <w:pPr>
        <w:numPr>
          <w:ilvl w:val="0"/>
          <w:numId w:val="27"/>
        </w:numPr>
        <w:shd w:val="clear" w:color="auto" w:fill="F8F7F7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obliczenie opłaty zmiennej przypadającej na dany lokal, która jest iloczynem zużytych GJ w lokalu i wyliczonej stawki jednostkowej za 1 GJ;</w:t>
      </w:r>
    </w:p>
    <w:p w:rsidR="007419CE" w:rsidRPr="00310D84" w:rsidRDefault="009C0A37" w:rsidP="007419CE">
      <w:pPr>
        <w:numPr>
          <w:ilvl w:val="0"/>
          <w:numId w:val="29"/>
        </w:numPr>
        <w:shd w:val="clear" w:color="auto" w:fill="F8F7F7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wyliczenie kosztu stałego jako średniej ceny jednostkowej za 1 m </w:t>
      </w:r>
      <w:r w:rsidRPr="00310D8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2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w danym okresie rozliczeniowym stanowiącej wartość ilorazu kosztów stałych i łącznej powierzchni grzewczej budynku </w:t>
      </w:r>
      <w:r w:rsidR="007419CE" w:rsidRPr="00310D8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C0A37" w:rsidRPr="00310D84" w:rsidRDefault="009C0A37" w:rsidP="007419CE">
      <w:pPr>
        <w:numPr>
          <w:ilvl w:val="0"/>
          <w:numId w:val="29"/>
        </w:numPr>
        <w:shd w:val="clear" w:color="auto" w:fill="F8F7F7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obliczenie opłaty stałej przypadającej na dany lokal jako iloczyn powierzchni grzewczej lokalu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i wyliczonej stawki jednostkowej za 1 m</w:t>
      </w:r>
      <w:r w:rsidRPr="00310D8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2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przy uwzględnieniu współczynników wyrównawczych</w:t>
      </w:r>
      <w:r w:rsidRPr="00310D84">
        <w:rPr>
          <w:rFonts w:ascii="Tahoma" w:eastAsia="Times New Roman" w:hAnsi="Tahoma" w:cs="Tahoma"/>
          <w:sz w:val="15"/>
          <w:szCs w:val="15"/>
          <w:lang w:eastAsia="pl-PL"/>
        </w:rPr>
        <w:t>.</w:t>
      </w:r>
    </w:p>
    <w:p w:rsidR="008E551C" w:rsidRPr="00310D84" w:rsidRDefault="008E551C" w:rsidP="008E551C">
      <w:pPr>
        <w:shd w:val="clear" w:color="auto" w:fill="F8F7F7"/>
        <w:spacing w:before="100" w:beforeAutospacing="1" w:after="100" w:afterAutospacing="1" w:line="36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C90669" w:rsidRPr="00310D84" w:rsidRDefault="00C90669" w:rsidP="008E551C">
      <w:pPr>
        <w:shd w:val="clear" w:color="auto" w:fill="F8F7F7"/>
        <w:spacing w:before="100" w:beforeAutospacing="1" w:after="100" w:afterAutospacing="1" w:line="36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BE4B18">
      <w:pPr>
        <w:shd w:val="clear" w:color="auto" w:fill="F8F7F7"/>
        <w:spacing w:after="0" w:line="240" w:lineRule="auto"/>
        <w:jc w:val="center"/>
        <w:outlineLvl w:val="0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§ 8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1. Jeżeli w wyniku indywidualnego rozliczenia okaże się, iż wniesione przez użytkownika lokalu zaliczki w okresie rozliczeniowym nie pokryją kosztów lokalu 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, o których mowa § 5,ust.2 ,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to wówczas zobowiązany jest on do pokrycia różnicy w wyznaczonym w zawiadomieniu o rozliczeniu terminie. 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2. Od wpłat dokonanych po tym terminie będą naliczane odsetki.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3. Jeżeli w wyniku indywidualnego rozliczenia okaże się, iż wniesione przez użytkownika lokalu zaliczki w okresie rozliczeniowym będą wyższe od kosztów 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lokalu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to wówczas nadwyżka ulega rozliczeniu</w:t>
      </w:r>
      <w:r w:rsidR="00940E53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w następnym miesiącu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9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1. Do rozliczania kosztów dostawy energii cieplnej do lokalu przyjmowana jest aktualna powierzchnia grzewcza lokali wynikająca z umowy najmu lokalu lub innego dokumentu określającego powierzchnię grzewczą lub użytkową.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2. Przez powierzchnię grzewczą należy rozumieć powierzchnię użytkową lokali, w których znajdują się grzejniki oraz powierzchnię pomieszczeń wchodzących w skład lokali (np. przedpokój, łazienka, ubikacja itp.) nawet, jeżeli w pomieszczeniach tych nie ma grzejników.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3. Zmiana powierzchni grzewczej lokalu w rozliczeniu przyjmowana jest od na</w:t>
      </w:r>
      <w:r w:rsidR="007419CE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stępnego miesiąca, </w:t>
      </w:r>
      <w:r w:rsidR="007419CE"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w którym ŚTBS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powziął </w:t>
      </w:r>
      <w:r w:rsidR="00940E53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potwierdzoną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informację o zmianie.</w:t>
      </w: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10</w:t>
      </w:r>
    </w:p>
    <w:p w:rsidR="00940E53" w:rsidRPr="00310D84" w:rsidRDefault="007419CE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. Rozliczenie kosztów przypadających na poprzedniego użytkownika lokalu dokonuje się w oparciu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koszty poniesione w danym okresie rozliczeniowym do czasu zamiany lokalu. </w:t>
      </w:r>
    </w:p>
    <w:p w:rsidR="009C0A37" w:rsidRPr="00310D84" w:rsidRDefault="007419CE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>. W przypadku oddania lo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kalu do dyspozycji ŚTBS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, rozliczenia kosztów przypadających na lokal 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za okres do zakończenia użytkowania lokalu dokonuje się w oparciu o koszty poniesione w danym okresie rozliczeniowym do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czasu przekazania lokalu do ŚTBS</w:t>
      </w:r>
      <w:r w:rsidR="009C0A37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11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1. Odwołanie dotyczące rozliczenia kosztów </w:t>
      </w:r>
      <w:r w:rsidR="00BE4B18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można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składać w miejscu określonym w zawiadomieniu w terminie 30 dni od daty dostarczenia rozliczenia, w przeciwnym wypadku reklamacja nie będzie rozpatrywana. Odwołani</w:t>
      </w:r>
      <w:r w:rsidR="007419CE" w:rsidRPr="00310D84">
        <w:rPr>
          <w:rFonts w:ascii="Tahoma" w:eastAsia="Times New Roman" w:hAnsi="Tahoma" w:cs="Tahoma"/>
          <w:sz w:val="20"/>
          <w:szCs w:val="20"/>
          <w:lang w:eastAsia="pl-PL"/>
        </w:rPr>
        <w:t>e rozpatrzone zostanie przez ŚTBS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30 dni od daty jego wniesienia. 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2. Złożenie odwołania nie zwalnia użytkownika od obowiązku uiszczenia wyliczonego niedoboru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w wyznaczonym terminie.</w:t>
      </w: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§12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1. W szczególnie uzasadnionych przypadkach, a w szczególności w razie niewspółmiernego (zbyt dużego lub zbyt małego) w stosunku do wynikającego z normalnego użytkowania lokalu zużycia ciepła wykazanego przez urządzenie pomiarowe, istnieje możliwość rozliczenia lokalu do wysokości kosztów wynikających z kosztów ogrzania 1m2 w budynku w danym okresie rozliczeniowym. Każdy taki przypadek rozpatrywany jest indywidualnie.</w:t>
      </w:r>
    </w:p>
    <w:p w:rsidR="009C0A37" w:rsidRPr="00310D84" w:rsidRDefault="009C0A37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2. W sytuacji, w której lokal w poprzedzającym okresie rozliczeniowym został rozliczony wg powierzchni grzewczej, w bieżącym okresie rozliczeniowym, odczyt początkowy zostanie uśredniony 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na podstawie odczytu początkowego okresu poprzedzającego i odczytu końcowego okresu bieżącego.</w:t>
      </w:r>
    </w:p>
    <w:p w:rsidR="00200A52" w:rsidRPr="00310D84" w:rsidRDefault="00200A52" w:rsidP="007419CE">
      <w:pPr>
        <w:shd w:val="clear" w:color="auto" w:fill="F8F7F7"/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13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W przypadku stwierdzenia faktu: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15"/>
          <w:szCs w:val="15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uszkodzenia urządzeń wskaźnikowych;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- uszkodzenia plomb na urządzeniach;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- zdemont</w:t>
      </w:r>
      <w:r w:rsidR="007419CE" w:rsidRPr="00310D84">
        <w:rPr>
          <w:rFonts w:ascii="Tahoma" w:eastAsia="Times New Roman" w:hAnsi="Tahoma" w:cs="Tahoma"/>
          <w:sz w:val="20"/>
          <w:szCs w:val="20"/>
          <w:lang w:eastAsia="pl-PL"/>
        </w:rPr>
        <w:t>owania lub wymiany bez zgody ŚTBS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 grzejników lub urządzeń pomiarowych;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- prób zafałszowania pomiarów urządzeń,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użytkownik lokalu zobowiązany będzie do pokrycia kosztu wymiany urządzenia a koszt zużycia energii cieplnej zostanie wyliczony proporcjonalnie do powierzchni grzewczej lokalu powiększonej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o 30 %.</w:t>
      </w: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14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Niedopuszczalna jest jakakolwiek ingerencja użytkownika lokalu w instalację cent</w:t>
      </w:r>
      <w:r w:rsidR="007419CE" w:rsidRPr="00310D84">
        <w:rPr>
          <w:rFonts w:ascii="Tahoma" w:eastAsia="Times New Roman" w:hAnsi="Tahoma" w:cs="Tahoma"/>
          <w:sz w:val="20"/>
          <w:szCs w:val="20"/>
          <w:lang w:eastAsia="pl-PL"/>
        </w:rPr>
        <w:t>ralnego ogrzewania bez zgody ŚTBS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, a w szczególności: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- montaż dodatkowych grzejników lub powiększenie istniejących oraz wymiana grzejników dotychczasowych,</w:t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310D84">
        <w:rPr>
          <w:rFonts w:ascii="Tahoma" w:eastAsia="Times New Roman" w:hAnsi="Tahoma" w:cs="Tahoma"/>
          <w:sz w:val="20"/>
          <w:szCs w:val="20"/>
          <w:lang w:eastAsia="pl-PL"/>
        </w:rPr>
        <w:br/>
        <w:t>- spuszczanie wody z instalacji centralnego ogrzewania</w:t>
      </w:r>
    </w:p>
    <w:p w:rsidR="007419CE" w:rsidRPr="00310D84" w:rsidRDefault="007419CE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15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W sytuacji, gdy zostanie stwierdzone przez osoby upoważnione, że część urządzeń pomiarowych (powyżej 30% urządzeń </w:t>
      </w:r>
      <w:proofErr w:type="spellStart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>opomiarowujących</w:t>
      </w:r>
      <w:proofErr w:type="spellEnd"/>
      <w:r w:rsidRPr="00310D84">
        <w:rPr>
          <w:rFonts w:ascii="Tahoma" w:eastAsia="Times New Roman" w:hAnsi="Tahoma" w:cs="Tahoma"/>
          <w:sz w:val="20"/>
          <w:szCs w:val="20"/>
          <w:lang w:eastAsia="pl-PL"/>
        </w:rPr>
        <w:t>) jest wadliwa lub wykazuje błędy powodujące fałszywe wskazania, rozliczenie zostanie wykonane wg powierzchni lokali.</w:t>
      </w:r>
    </w:p>
    <w:p w:rsidR="00940E53" w:rsidRPr="00310D84" w:rsidRDefault="00940E53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19CE" w:rsidRPr="00310D84" w:rsidRDefault="007419CE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9C0A37" w:rsidRPr="00310D84" w:rsidRDefault="009C0A37" w:rsidP="009C0A37">
      <w:pPr>
        <w:shd w:val="clear" w:color="auto" w:fill="F8F7F7"/>
        <w:spacing w:after="0" w:line="240" w:lineRule="auto"/>
        <w:jc w:val="center"/>
        <w:rPr>
          <w:rFonts w:ascii="Tahoma" w:eastAsia="Times New Roman" w:hAnsi="Tahoma" w:cs="Tahoma"/>
          <w:sz w:val="15"/>
          <w:szCs w:val="15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§ 16</w:t>
      </w:r>
    </w:p>
    <w:p w:rsidR="009C0A37" w:rsidRPr="00310D84" w:rsidRDefault="009C0A37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10D84">
        <w:rPr>
          <w:rFonts w:ascii="Tahoma" w:eastAsia="Times New Roman" w:hAnsi="Tahoma" w:cs="Tahoma"/>
          <w:sz w:val="20"/>
          <w:szCs w:val="20"/>
          <w:lang w:eastAsia="pl-PL"/>
        </w:rPr>
        <w:t>Regu</w:t>
      </w:r>
      <w:r w:rsidR="008E551C" w:rsidRPr="00310D84">
        <w:rPr>
          <w:rFonts w:ascii="Tahoma" w:eastAsia="Times New Roman" w:hAnsi="Tahoma" w:cs="Tahoma"/>
          <w:sz w:val="20"/>
          <w:szCs w:val="20"/>
          <w:lang w:eastAsia="pl-PL"/>
        </w:rPr>
        <w:t xml:space="preserve">lamin wchodzi w życie z dniem </w:t>
      </w:r>
      <w:r w:rsidR="00BA29B0">
        <w:rPr>
          <w:rFonts w:ascii="Tahoma" w:eastAsia="Times New Roman" w:hAnsi="Tahoma" w:cs="Tahoma"/>
          <w:sz w:val="20"/>
          <w:szCs w:val="20"/>
          <w:lang w:eastAsia="pl-PL"/>
        </w:rPr>
        <w:t>30.01.2015</w:t>
      </w:r>
    </w:p>
    <w:p w:rsidR="00940E53" w:rsidRPr="00310D84" w:rsidRDefault="00940E53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0E53" w:rsidRPr="00310D84" w:rsidRDefault="00940E53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0E53" w:rsidRPr="00310D84" w:rsidRDefault="00940E53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0E53" w:rsidRPr="00BA29B0" w:rsidRDefault="00D626A1" w:rsidP="009C0A37">
      <w:pPr>
        <w:shd w:val="clear" w:color="auto" w:fill="F8F7F7"/>
        <w:spacing w:after="0" w:line="240" w:lineRule="auto"/>
        <w:rPr>
          <w:rFonts w:ascii="Tahoma" w:eastAsia="Times New Roman" w:hAnsi="Tahoma" w:cs="Tahoma"/>
          <w:b/>
          <w:sz w:val="15"/>
          <w:szCs w:val="15"/>
          <w:lang w:eastAsia="pl-PL"/>
        </w:rPr>
      </w:pPr>
      <w:r w:rsidRPr="00BA29B0">
        <w:rPr>
          <w:rFonts w:ascii="Tahoma" w:eastAsia="Times New Roman" w:hAnsi="Tahoma" w:cs="Tahoma"/>
          <w:b/>
          <w:sz w:val="20"/>
          <w:szCs w:val="20"/>
          <w:lang w:eastAsia="pl-PL"/>
        </w:rPr>
        <w:t>Regulamin zatwierdzony uchwałą R</w:t>
      </w:r>
      <w:r w:rsidR="004B3A2B" w:rsidRPr="00BA29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ady Nadzorczej ŚTBS nr </w:t>
      </w:r>
      <w:r w:rsidR="00BA29B0" w:rsidRPr="00BA29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</w:t>
      </w:r>
      <w:r w:rsidR="00310D84" w:rsidRPr="00BA29B0">
        <w:rPr>
          <w:rFonts w:ascii="Tahoma" w:eastAsia="Times New Roman" w:hAnsi="Tahoma" w:cs="Tahoma"/>
          <w:b/>
          <w:sz w:val="20"/>
          <w:szCs w:val="20"/>
          <w:lang w:eastAsia="pl-PL"/>
        </w:rPr>
        <w:t>/2015</w:t>
      </w:r>
      <w:r w:rsidR="00940E53" w:rsidRPr="00BA29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dniu </w:t>
      </w:r>
      <w:r w:rsidR="00BA29B0">
        <w:rPr>
          <w:rFonts w:ascii="Tahoma" w:eastAsia="Times New Roman" w:hAnsi="Tahoma" w:cs="Tahoma"/>
          <w:b/>
          <w:sz w:val="20"/>
          <w:szCs w:val="20"/>
          <w:lang w:eastAsia="pl-PL"/>
        </w:rPr>
        <w:t>30.01.2015</w:t>
      </w:r>
    </w:p>
    <w:p w:rsidR="00941826" w:rsidRPr="00310D84" w:rsidRDefault="00941826"/>
    <w:sectPr w:rsidR="00941826" w:rsidRPr="00310D84" w:rsidSect="00941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5A" w:rsidRDefault="0097465A" w:rsidP="00D71DE5">
      <w:pPr>
        <w:spacing w:after="0" w:line="240" w:lineRule="auto"/>
      </w:pPr>
      <w:r>
        <w:separator/>
      </w:r>
    </w:p>
  </w:endnote>
  <w:endnote w:type="continuationSeparator" w:id="0">
    <w:p w:rsidR="0097465A" w:rsidRDefault="0097465A" w:rsidP="00D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5A" w:rsidRDefault="0097465A" w:rsidP="00D71DE5">
      <w:pPr>
        <w:spacing w:after="0" w:line="240" w:lineRule="auto"/>
      </w:pPr>
      <w:r>
        <w:separator/>
      </w:r>
    </w:p>
  </w:footnote>
  <w:footnote w:type="continuationSeparator" w:id="0">
    <w:p w:rsidR="0097465A" w:rsidRDefault="0097465A" w:rsidP="00D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E5" w:rsidRPr="00D71DE5" w:rsidRDefault="00FD6F38" w:rsidP="00D01241">
    <w:pPr>
      <w:pStyle w:val="Nagwek"/>
      <w:jc w:val="right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F69"/>
    <w:multiLevelType w:val="multilevel"/>
    <w:tmpl w:val="11F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E452B"/>
    <w:multiLevelType w:val="multilevel"/>
    <w:tmpl w:val="B180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86469"/>
    <w:multiLevelType w:val="multilevel"/>
    <w:tmpl w:val="A1D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8596C"/>
    <w:multiLevelType w:val="multilevel"/>
    <w:tmpl w:val="BA54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56EBE"/>
    <w:multiLevelType w:val="multilevel"/>
    <w:tmpl w:val="9E1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34411"/>
    <w:multiLevelType w:val="multilevel"/>
    <w:tmpl w:val="F82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94CF2"/>
    <w:multiLevelType w:val="multilevel"/>
    <w:tmpl w:val="5DA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266EF"/>
    <w:multiLevelType w:val="multilevel"/>
    <w:tmpl w:val="614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9036D"/>
    <w:multiLevelType w:val="multilevel"/>
    <w:tmpl w:val="46E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3073E"/>
    <w:multiLevelType w:val="multilevel"/>
    <w:tmpl w:val="E7F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B3DD0"/>
    <w:multiLevelType w:val="multilevel"/>
    <w:tmpl w:val="2910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8634F"/>
    <w:multiLevelType w:val="multilevel"/>
    <w:tmpl w:val="38C2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A40F1"/>
    <w:multiLevelType w:val="multilevel"/>
    <w:tmpl w:val="4B0E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C4351"/>
    <w:multiLevelType w:val="multilevel"/>
    <w:tmpl w:val="56B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76FBA"/>
    <w:multiLevelType w:val="multilevel"/>
    <w:tmpl w:val="0B6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05E56"/>
    <w:multiLevelType w:val="multilevel"/>
    <w:tmpl w:val="A4E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D1CFE"/>
    <w:multiLevelType w:val="multilevel"/>
    <w:tmpl w:val="055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06B49"/>
    <w:multiLevelType w:val="multilevel"/>
    <w:tmpl w:val="368A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50BD6"/>
    <w:multiLevelType w:val="hybridMultilevel"/>
    <w:tmpl w:val="F014C592"/>
    <w:lvl w:ilvl="0" w:tplc="46CA144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02571"/>
    <w:multiLevelType w:val="multilevel"/>
    <w:tmpl w:val="4CBE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D028E"/>
    <w:multiLevelType w:val="multilevel"/>
    <w:tmpl w:val="720A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E691B"/>
    <w:multiLevelType w:val="multilevel"/>
    <w:tmpl w:val="0B3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F6B1F"/>
    <w:multiLevelType w:val="multilevel"/>
    <w:tmpl w:val="ADA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A2EA6"/>
    <w:multiLevelType w:val="multilevel"/>
    <w:tmpl w:val="9B4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562F2"/>
    <w:multiLevelType w:val="hybridMultilevel"/>
    <w:tmpl w:val="C008AB32"/>
    <w:lvl w:ilvl="0" w:tplc="FC3E757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000845"/>
    <w:multiLevelType w:val="multilevel"/>
    <w:tmpl w:val="CC4E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23267"/>
    <w:multiLevelType w:val="multilevel"/>
    <w:tmpl w:val="97C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47362"/>
    <w:multiLevelType w:val="multilevel"/>
    <w:tmpl w:val="A23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1437F9"/>
    <w:multiLevelType w:val="multilevel"/>
    <w:tmpl w:val="225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B02E7"/>
    <w:multiLevelType w:val="multilevel"/>
    <w:tmpl w:val="E7D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01756"/>
    <w:multiLevelType w:val="multilevel"/>
    <w:tmpl w:val="CA9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72AD7"/>
    <w:multiLevelType w:val="multilevel"/>
    <w:tmpl w:val="573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66D0F"/>
    <w:multiLevelType w:val="multilevel"/>
    <w:tmpl w:val="706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976C01"/>
    <w:multiLevelType w:val="hybridMultilevel"/>
    <w:tmpl w:val="AD2A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B69A1"/>
    <w:multiLevelType w:val="hybridMultilevel"/>
    <w:tmpl w:val="AE0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76EFF"/>
    <w:multiLevelType w:val="multilevel"/>
    <w:tmpl w:val="D38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C236E"/>
    <w:multiLevelType w:val="multilevel"/>
    <w:tmpl w:val="E6D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50232F"/>
    <w:multiLevelType w:val="multilevel"/>
    <w:tmpl w:val="EB3C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9470C"/>
    <w:multiLevelType w:val="multilevel"/>
    <w:tmpl w:val="B62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913A46"/>
    <w:multiLevelType w:val="multilevel"/>
    <w:tmpl w:val="B8F4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34E5B"/>
    <w:multiLevelType w:val="multilevel"/>
    <w:tmpl w:val="3CB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B0250"/>
    <w:multiLevelType w:val="multilevel"/>
    <w:tmpl w:val="C80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E432E"/>
    <w:multiLevelType w:val="multilevel"/>
    <w:tmpl w:val="DBD0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D37F9C"/>
    <w:multiLevelType w:val="multilevel"/>
    <w:tmpl w:val="A7F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E7229"/>
    <w:multiLevelType w:val="multilevel"/>
    <w:tmpl w:val="CEF4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53DAC"/>
    <w:multiLevelType w:val="multilevel"/>
    <w:tmpl w:val="743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452B0C"/>
    <w:multiLevelType w:val="multilevel"/>
    <w:tmpl w:val="5E5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2"/>
  </w:num>
  <w:num w:numId="3">
    <w:abstractNumId w:val="26"/>
  </w:num>
  <w:num w:numId="4">
    <w:abstractNumId w:val="23"/>
  </w:num>
  <w:num w:numId="5">
    <w:abstractNumId w:val="37"/>
  </w:num>
  <w:num w:numId="6">
    <w:abstractNumId w:val="45"/>
  </w:num>
  <w:num w:numId="7">
    <w:abstractNumId w:val="46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43"/>
  </w:num>
  <w:num w:numId="15">
    <w:abstractNumId w:val="1"/>
  </w:num>
  <w:num w:numId="16">
    <w:abstractNumId w:val="17"/>
  </w:num>
  <w:num w:numId="17">
    <w:abstractNumId w:val="38"/>
  </w:num>
  <w:num w:numId="18">
    <w:abstractNumId w:val="14"/>
  </w:num>
  <w:num w:numId="19">
    <w:abstractNumId w:val="5"/>
  </w:num>
  <w:num w:numId="20">
    <w:abstractNumId w:val="4"/>
  </w:num>
  <w:num w:numId="21">
    <w:abstractNumId w:val="28"/>
  </w:num>
  <w:num w:numId="22">
    <w:abstractNumId w:val="27"/>
  </w:num>
  <w:num w:numId="23">
    <w:abstractNumId w:val="19"/>
  </w:num>
  <w:num w:numId="24">
    <w:abstractNumId w:val="13"/>
  </w:num>
  <w:num w:numId="25">
    <w:abstractNumId w:val="36"/>
  </w:num>
  <w:num w:numId="26">
    <w:abstractNumId w:val="21"/>
  </w:num>
  <w:num w:numId="27">
    <w:abstractNumId w:val="0"/>
  </w:num>
  <w:num w:numId="28">
    <w:abstractNumId w:val="35"/>
  </w:num>
  <w:num w:numId="29">
    <w:abstractNumId w:val="39"/>
  </w:num>
  <w:num w:numId="30">
    <w:abstractNumId w:val="9"/>
  </w:num>
  <w:num w:numId="31">
    <w:abstractNumId w:val="29"/>
  </w:num>
  <w:num w:numId="32">
    <w:abstractNumId w:val="7"/>
  </w:num>
  <w:num w:numId="33">
    <w:abstractNumId w:val="44"/>
  </w:num>
  <w:num w:numId="34">
    <w:abstractNumId w:val="31"/>
  </w:num>
  <w:num w:numId="35">
    <w:abstractNumId w:val="41"/>
  </w:num>
  <w:num w:numId="36">
    <w:abstractNumId w:val="16"/>
  </w:num>
  <w:num w:numId="37">
    <w:abstractNumId w:val="22"/>
  </w:num>
  <w:num w:numId="38">
    <w:abstractNumId w:val="30"/>
  </w:num>
  <w:num w:numId="39">
    <w:abstractNumId w:val="32"/>
  </w:num>
  <w:num w:numId="40">
    <w:abstractNumId w:val="10"/>
  </w:num>
  <w:num w:numId="41">
    <w:abstractNumId w:val="20"/>
  </w:num>
  <w:num w:numId="42">
    <w:abstractNumId w:val="25"/>
  </w:num>
  <w:num w:numId="43">
    <w:abstractNumId w:val="15"/>
  </w:num>
  <w:num w:numId="44">
    <w:abstractNumId w:val="33"/>
  </w:num>
  <w:num w:numId="45">
    <w:abstractNumId w:val="24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37"/>
    <w:rsid w:val="00007EF5"/>
    <w:rsid w:val="0001198E"/>
    <w:rsid w:val="0002763C"/>
    <w:rsid w:val="000D618C"/>
    <w:rsid w:val="0010440A"/>
    <w:rsid w:val="00200A52"/>
    <w:rsid w:val="003021BC"/>
    <w:rsid w:val="00310D84"/>
    <w:rsid w:val="00336503"/>
    <w:rsid w:val="00361EDB"/>
    <w:rsid w:val="003A6A88"/>
    <w:rsid w:val="003D1E3F"/>
    <w:rsid w:val="003E68F6"/>
    <w:rsid w:val="00497DC4"/>
    <w:rsid w:val="004B3A2B"/>
    <w:rsid w:val="004C409C"/>
    <w:rsid w:val="00513FCD"/>
    <w:rsid w:val="007419CE"/>
    <w:rsid w:val="00794F7E"/>
    <w:rsid w:val="008522EE"/>
    <w:rsid w:val="008E551C"/>
    <w:rsid w:val="00940E53"/>
    <w:rsid w:val="00941826"/>
    <w:rsid w:val="0097465A"/>
    <w:rsid w:val="009C0A37"/>
    <w:rsid w:val="009C10D4"/>
    <w:rsid w:val="00A17503"/>
    <w:rsid w:val="00A17DB1"/>
    <w:rsid w:val="00A92D3E"/>
    <w:rsid w:val="00AD09BB"/>
    <w:rsid w:val="00BA29B0"/>
    <w:rsid w:val="00BE4B18"/>
    <w:rsid w:val="00C90669"/>
    <w:rsid w:val="00C972F8"/>
    <w:rsid w:val="00D01241"/>
    <w:rsid w:val="00D626A1"/>
    <w:rsid w:val="00D71DE5"/>
    <w:rsid w:val="00D740FD"/>
    <w:rsid w:val="00D95489"/>
    <w:rsid w:val="00DF0A7D"/>
    <w:rsid w:val="00F45F4C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7D3B-8CF3-40B5-AA9E-DB0B17A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1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E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E4B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E5"/>
  </w:style>
  <w:style w:type="paragraph" w:styleId="Stopka">
    <w:name w:val="footer"/>
    <w:basedOn w:val="Normalny"/>
    <w:link w:val="StopkaZnak"/>
    <w:uiPriority w:val="99"/>
    <w:unhideWhenUsed/>
    <w:rsid w:val="00D7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E5"/>
  </w:style>
  <w:style w:type="paragraph" w:styleId="Tekstdymka">
    <w:name w:val="Balloon Text"/>
    <w:basedOn w:val="Normalny"/>
    <w:link w:val="TekstdymkaZnak"/>
    <w:uiPriority w:val="99"/>
    <w:semiHidden/>
    <w:unhideWhenUsed/>
    <w:rsid w:val="00A1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ŚTBS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Swidnickie Towarzystwo Budownictwa Spolecznego</cp:lastModifiedBy>
  <cp:revision>2</cp:revision>
  <cp:lastPrinted>2015-01-30T09:10:00Z</cp:lastPrinted>
  <dcterms:created xsi:type="dcterms:W3CDTF">2015-02-10T09:02:00Z</dcterms:created>
  <dcterms:modified xsi:type="dcterms:W3CDTF">2015-02-10T09:02:00Z</dcterms:modified>
</cp:coreProperties>
</file>